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Grade 7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General Supplies: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Durable H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omework Folder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Pencil pouch containing: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colored pencils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one dozen #2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one dozen cap erasers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2-3 highlighters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pencil sharpeners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tape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hanging="360"/>
        <w:rPr>
          <w:color w:val="222222"/>
          <w:sz w:val="16"/>
          <w:szCs w:val="16"/>
          <w:highlight w:val="white"/>
          <w:u w:val="non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Glue Stick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Science: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1 1/2" Durable binder with clear plastic covers on front &amp; back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25 page protectors for the binder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 dividers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Composition notebook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Reinforced lined filler paper for binder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Language Arts: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1” durable binder with clear plastic cover on front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 dividers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Reinforced lined filler paper for binder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Composition notebook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Math: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3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-Subject Notebook with plastic cover, wide-rule with pocket dividers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Two dozen sharpened pencils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 pocket folder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Composition Notebook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Social Studies: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3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-Subject Notebook with durable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plastic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cover, with pocket dividers (minimum 150 sheets)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Composition Notebook (minimum 100 sheets)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 Disposable Tape Dispensers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Foreign Language: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“ D ring Binder with clear plastic covers on front and back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page protectors for the binder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dividers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Lined paper for binder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Composition notebook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Blue or Black pens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Colored pencils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Explore: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Literacy - Composition Notebook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b w:val="1"/>
        <w:color w:val="222222"/>
        <w:sz w:val="36"/>
        <w:szCs w:val="36"/>
        <w:highlight w:val="white"/>
        <w:rtl w:val="0"/>
      </w:rPr>
      <w:t xml:space="preserve">7th Grade School Supplies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